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A18D" w14:textId="77777777" w:rsidR="00E654BA" w:rsidRDefault="00E654BA" w:rsidP="00ED0825">
      <w:pPr>
        <w:spacing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0C0C906B" w14:textId="77777777" w:rsidR="00E654BA" w:rsidRPr="00E654BA" w:rsidRDefault="00E654BA" w:rsidP="00ED0825">
      <w:pPr>
        <w:spacing w:after="120"/>
        <w:jc w:val="center"/>
        <w:rPr>
          <w:b/>
          <w:sz w:val="4"/>
          <w:szCs w:val="4"/>
          <w:u w:val="single"/>
        </w:rPr>
      </w:pPr>
    </w:p>
    <w:p w14:paraId="7AD96EFC" w14:textId="77777777" w:rsidR="00ED0825" w:rsidRDefault="00ED0825" w:rsidP="00ED0825">
      <w:pPr>
        <w:spacing w:after="120"/>
        <w:jc w:val="center"/>
        <w:rPr>
          <w:b/>
          <w:sz w:val="28"/>
          <w:szCs w:val="28"/>
          <w:u w:val="single"/>
        </w:rPr>
      </w:pPr>
      <w:r w:rsidRPr="00A9251E">
        <w:rPr>
          <w:b/>
          <w:sz w:val="28"/>
          <w:szCs w:val="28"/>
          <w:u w:val="single"/>
        </w:rPr>
        <w:t xml:space="preserve">A </w:t>
      </w:r>
      <w:r w:rsidRPr="00A9251E">
        <w:rPr>
          <w:b/>
          <w:i/>
          <w:sz w:val="28"/>
          <w:szCs w:val="28"/>
          <w:u w:val="single"/>
        </w:rPr>
        <w:t>Clean Slate</w:t>
      </w:r>
      <w:r w:rsidRPr="00A9251E">
        <w:rPr>
          <w:b/>
          <w:sz w:val="28"/>
          <w:szCs w:val="28"/>
          <w:u w:val="single"/>
        </w:rPr>
        <w:t xml:space="preserve"> for Colorado</w:t>
      </w:r>
    </w:p>
    <w:p w14:paraId="652AD10F" w14:textId="36A326F5" w:rsidR="00E654BA" w:rsidRPr="00E654BA" w:rsidRDefault="00E654BA" w:rsidP="00ED0825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HB19-XXXX Sponsored by Representative Mike Weissman</w:t>
      </w:r>
    </w:p>
    <w:p w14:paraId="0283BA5A" w14:textId="77777777" w:rsidR="00ED0825" w:rsidRPr="00EA42BA" w:rsidRDefault="00ED0825" w:rsidP="00ED0825">
      <w:pPr>
        <w:rPr>
          <w:b/>
          <w:sz w:val="24"/>
          <w:szCs w:val="24"/>
        </w:rPr>
      </w:pPr>
      <w:r w:rsidRPr="00EA42BA">
        <w:rPr>
          <w:b/>
          <w:sz w:val="24"/>
          <w:szCs w:val="24"/>
        </w:rPr>
        <w:t xml:space="preserve">What is Clean Slate? </w:t>
      </w:r>
    </w:p>
    <w:p w14:paraId="1290CB77" w14:textId="77777777" w:rsidR="00ED0825" w:rsidRPr="006E6A18" w:rsidRDefault="00ED0825" w:rsidP="00ED0825">
      <w:r w:rsidRPr="006E6A18">
        <w:t>“Clean Slate” is legislation that provides for automatically sealing certain criminal records so that they are not available to the public, but can still be accessed by law enforcement</w:t>
      </w:r>
      <w:r>
        <w:t>, family courts,</w:t>
      </w:r>
      <w:r w:rsidRPr="006E6A18">
        <w:t xml:space="preserve"> and victims of crimes.</w:t>
      </w:r>
    </w:p>
    <w:p w14:paraId="57DA539F" w14:textId="77777777" w:rsidR="00ED0825" w:rsidRDefault="00ED0825" w:rsidP="00ED0825">
      <w:r w:rsidRPr="006E6A18">
        <w:t xml:space="preserve">Under Clean Slate, the following are automatically sealed when people have remained free of misdemeanor and felony convictions for a </w:t>
      </w:r>
      <w:r w:rsidR="00125374">
        <w:t>specified</w:t>
      </w:r>
      <w:r w:rsidRPr="006E6A18">
        <w:t xml:space="preserve"> period of time:</w:t>
      </w:r>
    </w:p>
    <w:p w14:paraId="6DC6DEDD" w14:textId="47E0400E" w:rsidR="00ED0825" w:rsidRDefault="00ED0825" w:rsidP="00ED0825">
      <w:pPr>
        <w:pStyle w:val="ListParagraph"/>
        <w:numPr>
          <w:ilvl w:val="0"/>
          <w:numId w:val="1"/>
        </w:numPr>
      </w:pPr>
      <w:r>
        <w:t xml:space="preserve">Charges that did not </w:t>
      </w:r>
      <w:r w:rsidR="002D2A6C">
        <w:t>result in a conviction, after 63</w:t>
      </w:r>
      <w:r>
        <w:t xml:space="preserve"> days;</w:t>
      </w:r>
    </w:p>
    <w:p w14:paraId="0160B7E7" w14:textId="3F27B4FE" w:rsidR="00ED0825" w:rsidRDefault="00ED0825" w:rsidP="00ED0825">
      <w:pPr>
        <w:pStyle w:val="ListParagraph"/>
        <w:numPr>
          <w:ilvl w:val="0"/>
          <w:numId w:val="1"/>
        </w:numPr>
      </w:pPr>
      <w:r>
        <w:t xml:space="preserve">Non-violent </w:t>
      </w:r>
      <w:r w:rsidR="002D2A6C">
        <w:t xml:space="preserve">drug-related </w:t>
      </w:r>
      <w:r>
        <w:t>misdemeanor convictions, after 7 years;</w:t>
      </w:r>
    </w:p>
    <w:p w14:paraId="767BD6E1" w14:textId="3E0BD852" w:rsidR="00ED0825" w:rsidRDefault="00ED0825" w:rsidP="00ED0825">
      <w:pPr>
        <w:pStyle w:val="ListParagraph"/>
        <w:numPr>
          <w:ilvl w:val="0"/>
          <w:numId w:val="1"/>
        </w:numPr>
      </w:pPr>
      <w:r>
        <w:t>Level 4 drug</w:t>
      </w:r>
      <w:r w:rsidR="002D2A6C">
        <w:t>-related</w:t>
      </w:r>
      <w:r>
        <w:t xml:space="preserve"> felonies, after 10 years.</w:t>
      </w:r>
    </w:p>
    <w:p w14:paraId="07EF7E43" w14:textId="77777777" w:rsidR="00ED0825" w:rsidRDefault="00ED0825" w:rsidP="00ED0825">
      <w:r>
        <w:t>The offenses that are included in this legislation are already eligible for sealing under Colorado law, but currently require a court petition, filing fees, and other cumbersome steps</w:t>
      </w:r>
      <w:r w:rsidR="00401125">
        <w:t xml:space="preserve"> in order to be processed</w:t>
      </w:r>
      <w:r>
        <w:t>.</w:t>
      </w:r>
    </w:p>
    <w:p w14:paraId="09CB8D69" w14:textId="77777777" w:rsidR="00ED0825" w:rsidRPr="00FA4921" w:rsidRDefault="00ED0825" w:rsidP="00FA4921">
      <w:pPr>
        <w:spacing w:after="120"/>
        <w:rPr>
          <w:sz w:val="4"/>
          <w:szCs w:val="4"/>
        </w:rPr>
      </w:pPr>
    </w:p>
    <w:p w14:paraId="60FCAA0B" w14:textId="77777777" w:rsidR="00ED0825" w:rsidRPr="00EA42BA" w:rsidRDefault="00ED0825" w:rsidP="00ED0825">
      <w:pPr>
        <w:rPr>
          <w:b/>
          <w:sz w:val="24"/>
          <w:szCs w:val="24"/>
        </w:rPr>
      </w:pPr>
      <w:r w:rsidRPr="00EA42BA">
        <w:rPr>
          <w:b/>
          <w:sz w:val="24"/>
          <w:szCs w:val="24"/>
        </w:rPr>
        <w:t>Why is Clean Slate needed</w:t>
      </w:r>
      <w:r>
        <w:rPr>
          <w:b/>
          <w:sz w:val="24"/>
          <w:szCs w:val="24"/>
        </w:rPr>
        <w:t xml:space="preserve"> in Colorado</w:t>
      </w:r>
      <w:r w:rsidRPr="00EA42BA">
        <w:rPr>
          <w:b/>
          <w:sz w:val="24"/>
          <w:szCs w:val="24"/>
        </w:rPr>
        <w:t xml:space="preserve">? </w:t>
      </w:r>
    </w:p>
    <w:p w14:paraId="58144AFA" w14:textId="59056605" w:rsidR="00ED0825" w:rsidRDefault="002D2A6C" w:rsidP="00ED0825">
      <w:r>
        <w:t>There are more than 1.8</w:t>
      </w:r>
      <w:r w:rsidR="00ED0825" w:rsidRPr="006E6A18">
        <w:t xml:space="preserve"> million Coloradans listed on the state criminal record database. For many of these people</w:t>
      </w:r>
      <w:r w:rsidR="00401125">
        <w:t>,</w:t>
      </w:r>
      <w:r w:rsidR="00ED0825" w:rsidRPr="006E6A18">
        <w:t xml:space="preserve"> involvement with the justice system has led to perpetual unemployment</w:t>
      </w:r>
      <w:r w:rsidR="00ED0825">
        <w:t>, housing insecurity,</w:t>
      </w:r>
      <w:r w:rsidR="00ED0825" w:rsidRPr="006E6A18">
        <w:t xml:space="preserve"> and</w:t>
      </w:r>
      <w:r w:rsidR="00ED0825">
        <w:t xml:space="preserve"> the loss of</w:t>
      </w:r>
      <w:r w:rsidR="00ED0825" w:rsidRPr="006E6A18">
        <w:t xml:space="preserve"> income for themselves and their families.</w:t>
      </w:r>
      <w:r w:rsidR="00ED0825" w:rsidRPr="006E6A18">
        <w:rPr>
          <w:rStyle w:val="FootnoteReference"/>
        </w:rPr>
        <w:footnoteReference w:id="1"/>
      </w:r>
      <w:r w:rsidR="00ED0825" w:rsidRPr="006E6A18">
        <w:t xml:space="preserve">  </w:t>
      </w:r>
    </w:p>
    <w:p w14:paraId="1D8D30A4" w14:textId="77777777" w:rsidR="00ED0825" w:rsidRPr="006E6A18" w:rsidRDefault="00ED0825" w:rsidP="00ED0825">
      <w:r>
        <w:t>Clean Slate legislation will provide many benefits to Coloradans, including:</w:t>
      </w:r>
    </w:p>
    <w:p w14:paraId="4C8FB28F" w14:textId="77777777" w:rsidR="00ED0825" w:rsidRDefault="00ED0825" w:rsidP="00ED0825">
      <w:pPr>
        <w:pStyle w:val="ListParagraph"/>
        <w:numPr>
          <w:ilvl w:val="0"/>
          <w:numId w:val="2"/>
        </w:numPr>
      </w:pPr>
      <w:r w:rsidRPr="00EA42BA">
        <w:rPr>
          <w:b/>
          <w:i/>
        </w:rPr>
        <w:t>Employment</w:t>
      </w:r>
      <w:r w:rsidR="003A6716">
        <w:rPr>
          <w:b/>
          <w:i/>
        </w:rPr>
        <w:t xml:space="preserve"> and Housing</w:t>
      </w:r>
      <w:r w:rsidRPr="00EA42BA">
        <w:rPr>
          <w:b/>
          <w:i/>
        </w:rPr>
        <w:t>:</w:t>
      </w:r>
      <w:r w:rsidRPr="00EA42BA">
        <w:t xml:space="preserve"> </w:t>
      </w:r>
      <w:r>
        <w:t xml:space="preserve"> </w:t>
      </w:r>
      <w:r w:rsidR="003A6716">
        <w:t xml:space="preserve">By </w:t>
      </w:r>
      <w:r w:rsidR="00FA4921">
        <w:t>removing barriers to</w:t>
      </w:r>
      <w:r w:rsidR="003A6716">
        <w:t xml:space="preserve"> employment and housing, this bill will give people a chance to move on with their lives </w:t>
      </w:r>
      <w:r w:rsidR="00401125">
        <w:t>and</w:t>
      </w:r>
      <w:r w:rsidR="003A6716">
        <w:t xml:space="preserve"> become more productive citizens.</w:t>
      </w:r>
    </w:p>
    <w:p w14:paraId="3FC1ED85" w14:textId="77777777" w:rsidR="00ED0825" w:rsidRPr="00EA42BA" w:rsidRDefault="00ED0825" w:rsidP="00ED0825">
      <w:pPr>
        <w:pStyle w:val="ListParagraph"/>
        <w:rPr>
          <w:sz w:val="8"/>
          <w:szCs w:val="8"/>
        </w:rPr>
      </w:pPr>
    </w:p>
    <w:p w14:paraId="0DC1CB6E" w14:textId="77777777" w:rsidR="00ED0825" w:rsidRDefault="003A6716" w:rsidP="00ED0825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Community </w:t>
      </w:r>
      <w:r w:rsidR="00ED0825" w:rsidRPr="00EA42BA">
        <w:rPr>
          <w:b/>
          <w:i/>
        </w:rPr>
        <w:t>Safety</w:t>
      </w:r>
      <w:r w:rsidR="00ED0825" w:rsidRPr="00EA42BA">
        <w:t xml:space="preserve">: </w:t>
      </w:r>
      <w:r w:rsidR="00125374">
        <w:t xml:space="preserve">Research has established that if an offender does not commit another offense within three years of their previous conviction, they are unlikely to offend in the future. </w:t>
      </w:r>
      <w:r w:rsidR="00ED0825" w:rsidRPr="00EA42BA">
        <w:t xml:space="preserve">Research </w:t>
      </w:r>
      <w:r w:rsidR="00125374">
        <w:t xml:space="preserve">also </w:t>
      </w:r>
      <w:r>
        <w:t>shows</w:t>
      </w:r>
      <w:r w:rsidR="00401125">
        <w:t xml:space="preserve"> that</w:t>
      </w:r>
      <w:r>
        <w:t xml:space="preserve"> policies that reduce economic </w:t>
      </w:r>
      <w:r w:rsidR="00FA4921">
        <w:t>obstacles</w:t>
      </w:r>
      <w:r>
        <w:t xml:space="preserve"> for people with criminal histories are effective</w:t>
      </w:r>
      <w:r w:rsidR="00ED0825" w:rsidRPr="00EA42BA">
        <w:t xml:space="preserve"> </w:t>
      </w:r>
      <w:r w:rsidR="00401125">
        <w:t>at</w:t>
      </w:r>
      <w:r w:rsidR="00ED0825" w:rsidRPr="00EA42BA">
        <w:t xml:space="preserve"> lowering recidivism</w:t>
      </w:r>
      <w:r w:rsidR="00401125">
        <w:t xml:space="preserve"> and strengthening public safety</w:t>
      </w:r>
      <w:r w:rsidR="00ED0825" w:rsidRPr="00EA42BA">
        <w:t xml:space="preserve">.    </w:t>
      </w:r>
    </w:p>
    <w:p w14:paraId="5EA5F2B5" w14:textId="77777777" w:rsidR="00ED0825" w:rsidRPr="00EA42BA" w:rsidRDefault="00ED0825" w:rsidP="00ED0825">
      <w:pPr>
        <w:pStyle w:val="ListParagraph"/>
        <w:rPr>
          <w:sz w:val="8"/>
          <w:szCs w:val="8"/>
        </w:rPr>
      </w:pPr>
    </w:p>
    <w:p w14:paraId="1F5CE8FD" w14:textId="77777777" w:rsidR="003A6716" w:rsidRPr="003A6716" w:rsidRDefault="003A6716" w:rsidP="00ED0825">
      <w:pPr>
        <w:pStyle w:val="ListParagraph"/>
        <w:numPr>
          <w:ilvl w:val="0"/>
          <w:numId w:val="2"/>
        </w:numPr>
        <w:rPr>
          <w:b/>
          <w:i/>
        </w:rPr>
      </w:pPr>
      <w:r w:rsidRPr="003A6716">
        <w:rPr>
          <w:b/>
          <w:i/>
        </w:rPr>
        <w:t xml:space="preserve">Public Administration: </w:t>
      </w:r>
      <w:r w:rsidR="00FA4921">
        <w:t>By lowering the number of individual sealing petitions, C</w:t>
      </w:r>
      <w:r>
        <w:t xml:space="preserve">lean Slate legislation will </w:t>
      </w:r>
      <w:r w:rsidR="00401125">
        <w:t>help</w:t>
      </w:r>
      <w:r w:rsidR="00125374">
        <w:t xml:space="preserve"> Coloradans utilize the opportunity for record sealing that is currently available, allowing</w:t>
      </w:r>
      <w:r>
        <w:t xml:space="preserve"> Colorado’s </w:t>
      </w:r>
      <w:r w:rsidR="00401125">
        <w:t>court system</w:t>
      </w:r>
      <w:r w:rsidR="00125374">
        <w:t xml:space="preserve"> to</w:t>
      </w:r>
      <w:r>
        <w:t xml:space="preserve"> operate more efficiently and at a lower cost to taxpayers.</w:t>
      </w:r>
    </w:p>
    <w:p w14:paraId="4A630694" w14:textId="77777777" w:rsidR="003A6716" w:rsidRPr="003A6716" w:rsidRDefault="003A6716" w:rsidP="003A6716">
      <w:pPr>
        <w:pStyle w:val="ListParagraph"/>
        <w:rPr>
          <w:b/>
          <w:i/>
          <w:sz w:val="8"/>
          <w:szCs w:val="8"/>
        </w:rPr>
      </w:pPr>
    </w:p>
    <w:p w14:paraId="54003F58" w14:textId="77777777" w:rsidR="00352126" w:rsidRDefault="00ED0825" w:rsidP="003A6716">
      <w:pPr>
        <w:pStyle w:val="ListParagraph"/>
        <w:numPr>
          <w:ilvl w:val="0"/>
          <w:numId w:val="2"/>
        </w:numPr>
      </w:pPr>
      <w:r w:rsidRPr="00EA42BA">
        <w:rPr>
          <w:b/>
          <w:i/>
        </w:rPr>
        <w:t>Family Security:</w:t>
      </w:r>
      <w:r w:rsidRPr="00EA42BA">
        <w:t xml:space="preserve"> Experts estimate that half of the children in the U.S. have at least one parent with a criminal record. In Colorado, an estimated 60,000 children have experienced the incarceration of a parent. This bill would expand economic opportunities to the families and children of justice-involved residents.</w:t>
      </w:r>
    </w:p>
    <w:p w14:paraId="2CBF3AB5" w14:textId="77777777" w:rsidR="008052A9" w:rsidRDefault="008052A9" w:rsidP="008052A9">
      <w:pPr>
        <w:pStyle w:val="ListParagraph"/>
      </w:pPr>
    </w:p>
    <w:p w14:paraId="21253DC4" w14:textId="3718CA0C" w:rsidR="008052A9" w:rsidRDefault="008052A9" w:rsidP="008052A9">
      <w:pPr>
        <w:ind w:left="360"/>
        <w:jc w:val="center"/>
        <w:rPr>
          <w:b/>
          <w:sz w:val="32"/>
          <w:szCs w:val="32"/>
          <w:u w:val="single"/>
        </w:rPr>
      </w:pPr>
      <w:r w:rsidRPr="008052A9">
        <w:rPr>
          <w:b/>
          <w:sz w:val="32"/>
          <w:szCs w:val="32"/>
          <w:u w:val="single"/>
        </w:rPr>
        <w:t>Support for Clean Slate</w:t>
      </w:r>
    </w:p>
    <w:p w14:paraId="0FD36061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Above Waters Project</w:t>
      </w:r>
    </w:p>
    <w:p w14:paraId="3B25349E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 xml:space="preserve">Center for Employment Opportunities </w:t>
      </w:r>
    </w:p>
    <w:p w14:paraId="1D6060E6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City Unite</w:t>
      </w:r>
    </w:p>
    <w:p w14:paraId="157226AF" w14:textId="77777777" w:rsid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Colorado African American Drug Policy Coalition</w:t>
      </w:r>
    </w:p>
    <w:p w14:paraId="43635C62" w14:textId="55DBF571" w:rsidR="009F152B" w:rsidRPr="008052A9" w:rsidRDefault="009F152B" w:rsidP="008052A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Colorado Catholic Conference</w:t>
      </w:r>
    </w:p>
    <w:p w14:paraId="5742B3DB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Colorado Center on Law and Policy</w:t>
      </w:r>
    </w:p>
    <w:p w14:paraId="34FABFD0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Colorado Coalition for the Homeless</w:t>
      </w:r>
    </w:p>
    <w:p w14:paraId="129D4D95" w14:textId="77777777" w:rsidR="008052A9" w:rsidRDefault="008052A9" w:rsidP="008052A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Colorado Cross Disability Coalition</w:t>
      </w:r>
    </w:p>
    <w:p w14:paraId="7263C1B8" w14:textId="54547474" w:rsidR="009F152B" w:rsidRPr="008052A9" w:rsidRDefault="009F152B" w:rsidP="008052A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Colorado Lawyers Committee</w:t>
      </w:r>
    </w:p>
    <w:p w14:paraId="37B5F764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Colorado Poverty Law Project</w:t>
      </w:r>
    </w:p>
    <w:p w14:paraId="5AE07BE3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CWEE</w:t>
      </w:r>
    </w:p>
    <w:p w14:paraId="70FD9505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Empowercom, Inc.</w:t>
      </w:r>
    </w:p>
    <w:p w14:paraId="4B4ACDB0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Focus Reentry</w:t>
      </w:r>
    </w:p>
    <w:p w14:paraId="0FC1AFEF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Good Business Colorado</w:t>
      </w:r>
    </w:p>
    <w:p w14:paraId="148712E2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Interfaith Alliance of Colorado</w:t>
      </w:r>
    </w:p>
    <w:p w14:paraId="1CEC1E47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Lutheran Advocacy Ministry-- Colorado</w:t>
      </w:r>
    </w:p>
    <w:p w14:paraId="295249C9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Metro Caring</w:t>
      </w:r>
    </w:p>
    <w:p w14:paraId="54E55C24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Orchid Mental Health Legal Advocacy of Colorado, Inc.</w:t>
      </w:r>
    </w:p>
    <w:p w14:paraId="7E0CACC9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Remerg</w:t>
      </w:r>
    </w:p>
    <w:p w14:paraId="474DA7CF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Small Business Majority</w:t>
      </w:r>
    </w:p>
    <w:p w14:paraId="092B95BB" w14:textId="77777777" w:rsidR="008052A9" w:rsidRPr="008052A9" w:rsidRDefault="008052A9" w:rsidP="008052A9">
      <w:pPr>
        <w:ind w:left="360"/>
        <w:jc w:val="center"/>
        <w:rPr>
          <w:sz w:val="28"/>
          <w:szCs w:val="28"/>
        </w:rPr>
      </w:pPr>
      <w:r w:rsidRPr="008052A9">
        <w:rPr>
          <w:sz w:val="28"/>
          <w:szCs w:val="28"/>
        </w:rPr>
        <w:t>Urban Colors Arts and Mentoring</w:t>
      </w:r>
    </w:p>
    <w:sectPr w:rsidR="008052A9" w:rsidRPr="008052A9" w:rsidSect="00E654BA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87568" w14:textId="77777777" w:rsidR="003B5980" w:rsidRDefault="003B5980" w:rsidP="00ED0825">
      <w:pPr>
        <w:spacing w:after="0" w:line="240" w:lineRule="auto"/>
      </w:pPr>
      <w:r>
        <w:separator/>
      </w:r>
    </w:p>
  </w:endnote>
  <w:endnote w:type="continuationSeparator" w:id="0">
    <w:p w14:paraId="2411E41C" w14:textId="77777777" w:rsidR="003B5980" w:rsidRDefault="003B5980" w:rsidP="00ED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10F3" w14:textId="77777777" w:rsidR="0008712D" w:rsidRDefault="0008712D" w:rsidP="003A6716">
    <w:pPr>
      <w:spacing w:after="0" w:line="240" w:lineRule="auto"/>
      <w:jc w:val="center"/>
      <w:rPr>
        <w:b/>
        <w:sz w:val="20"/>
        <w:szCs w:val="20"/>
      </w:rPr>
    </w:pPr>
  </w:p>
  <w:p w14:paraId="335D1B50" w14:textId="77777777" w:rsidR="003A6716" w:rsidRPr="00E654BA" w:rsidRDefault="003A6716" w:rsidP="003A6716">
    <w:pPr>
      <w:spacing w:after="0" w:line="240" w:lineRule="auto"/>
      <w:jc w:val="center"/>
      <w:rPr>
        <w:b/>
        <w:sz w:val="18"/>
        <w:szCs w:val="18"/>
      </w:rPr>
    </w:pPr>
    <w:r w:rsidRPr="00E654BA">
      <w:rPr>
        <w:b/>
        <w:sz w:val="18"/>
        <w:szCs w:val="18"/>
      </w:rPr>
      <w:t>For more information:</w:t>
    </w:r>
  </w:p>
  <w:p w14:paraId="15ED8828" w14:textId="77777777" w:rsidR="003A6716" w:rsidRPr="00E654BA" w:rsidRDefault="00FA4921" w:rsidP="003A6716">
    <w:pPr>
      <w:spacing w:after="0" w:line="240" w:lineRule="auto"/>
      <w:jc w:val="center"/>
      <w:rPr>
        <w:sz w:val="18"/>
        <w:szCs w:val="18"/>
      </w:rPr>
    </w:pPr>
    <w:r w:rsidRPr="00E654BA">
      <w:rPr>
        <w:sz w:val="18"/>
        <w:szCs w:val="18"/>
      </w:rPr>
      <w:t xml:space="preserve">       </w:t>
    </w:r>
    <w:r w:rsidR="003A6716" w:rsidRPr="00E654BA">
      <w:rPr>
        <w:sz w:val="18"/>
        <w:szCs w:val="18"/>
      </w:rPr>
      <w:t xml:space="preserve">Jack Regenbogen, Esq. 303-573-5669, Ext. 321 or </w:t>
    </w:r>
    <w:hyperlink r:id="rId1" w:history="1">
      <w:r w:rsidR="0008712D" w:rsidRPr="00E654BA">
        <w:rPr>
          <w:rStyle w:val="Hyperlink"/>
          <w:sz w:val="18"/>
          <w:szCs w:val="18"/>
        </w:rPr>
        <w:t>jregenbogen@cclponline.org</w:t>
      </w:r>
    </w:hyperlink>
    <w:r w:rsidR="0008712D" w:rsidRPr="00E654BA">
      <w:rPr>
        <w:sz w:val="18"/>
        <w:szCs w:val="18"/>
      </w:rPr>
      <w:t xml:space="preserve"> </w:t>
    </w:r>
    <w:r w:rsidRPr="00E654BA">
      <w:rPr>
        <w:sz w:val="18"/>
        <w:szCs w:val="18"/>
      </w:rPr>
      <w:t xml:space="preserve">                                       </w:t>
    </w:r>
  </w:p>
  <w:p w14:paraId="480E23A7" w14:textId="7F9BFB15" w:rsidR="0008712D" w:rsidRPr="00E654BA" w:rsidRDefault="007D1078" w:rsidP="007D1078">
    <w:pPr>
      <w:spacing w:after="0" w:line="240" w:lineRule="auto"/>
      <w:rPr>
        <w:sz w:val="18"/>
        <w:szCs w:val="18"/>
      </w:rPr>
    </w:pPr>
    <w:r w:rsidRPr="00E654BA">
      <w:rPr>
        <w:sz w:val="18"/>
        <w:szCs w:val="18"/>
      </w:rPr>
      <w:t xml:space="preserve">                                                   </w:t>
    </w:r>
    <w:r w:rsidR="008052A9">
      <w:rPr>
        <w:sz w:val="18"/>
        <w:szCs w:val="18"/>
      </w:rPr>
      <w:tab/>
    </w:r>
    <w:r w:rsidR="008052A9">
      <w:rPr>
        <w:sz w:val="18"/>
        <w:szCs w:val="18"/>
      </w:rPr>
      <w:tab/>
    </w:r>
    <w:r w:rsidR="0008712D" w:rsidRPr="00E654BA">
      <w:rPr>
        <w:sz w:val="18"/>
        <w:szCs w:val="18"/>
      </w:rPr>
      <w:t xml:space="preserve">Adeline Hodge, 508-221-4623, or </w:t>
    </w:r>
    <w:hyperlink r:id="rId2" w:history="1">
      <w:r w:rsidR="0008712D" w:rsidRPr="00E654BA">
        <w:rPr>
          <w:rStyle w:val="Hyperlink"/>
          <w:sz w:val="18"/>
          <w:szCs w:val="18"/>
        </w:rPr>
        <w:t>adeline@frontlinepublicaffairs.com</w:t>
      </w:r>
    </w:hyperlink>
    <w:r w:rsidR="0008712D" w:rsidRPr="00E654BA">
      <w:rPr>
        <w:sz w:val="18"/>
        <w:szCs w:val="18"/>
      </w:rPr>
      <w:t xml:space="preserve">  </w:t>
    </w:r>
    <w:r w:rsidRPr="00E654BA">
      <w:rPr>
        <w:sz w:val="18"/>
        <w:szCs w:val="18"/>
      </w:rPr>
      <w:t xml:space="preserve">                         </w:t>
    </w:r>
    <w:r w:rsidR="009F152B">
      <w:rPr>
        <w:sz w:val="18"/>
        <w:szCs w:val="18"/>
      </w:rPr>
      <w:t>1/30</w:t>
    </w:r>
    <w:r w:rsidR="008052A9">
      <w:rPr>
        <w:sz w:val="18"/>
        <w:szCs w:val="18"/>
      </w:rPr>
      <w:t>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8DA0E" w14:textId="77777777" w:rsidR="003B5980" w:rsidRDefault="003B5980" w:rsidP="00ED0825">
      <w:pPr>
        <w:spacing w:after="0" w:line="240" w:lineRule="auto"/>
      </w:pPr>
      <w:r>
        <w:separator/>
      </w:r>
    </w:p>
  </w:footnote>
  <w:footnote w:type="continuationSeparator" w:id="0">
    <w:p w14:paraId="055A054E" w14:textId="77777777" w:rsidR="003B5980" w:rsidRDefault="003B5980" w:rsidP="00ED0825">
      <w:pPr>
        <w:spacing w:after="0" w:line="240" w:lineRule="auto"/>
      </w:pPr>
      <w:r>
        <w:continuationSeparator/>
      </w:r>
    </w:p>
  </w:footnote>
  <w:footnote w:id="1">
    <w:p w14:paraId="07D1E7E3" w14:textId="77777777" w:rsidR="00ED0825" w:rsidRPr="00E654BA" w:rsidRDefault="00ED0825" w:rsidP="00ED0825">
      <w:pPr>
        <w:pStyle w:val="FootnoteText"/>
        <w:rPr>
          <w:sz w:val="18"/>
          <w:szCs w:val="18"/>
        </w:rPr>
      </w:pPr>
      <w:r w:rsidRPr="00E654BA">
        <w:rPr>
          <w:rStyle w:val="FootnoteReference"/>
          <w:sz w:val="18"/>
          <w:szCs w:val="18"/>
        </w:rPr>
        <w:footnoteRef/>
      </w:r>
      <w:r w:rsidRPr="00E654BA">
        <w:rPr>
          <w:sz w:val="18"/>
          <w:szCs w:val="18"/>
        </w:rPr>
        <w:t xml:space="preserve"> </w:t>
      </w:r>
      <w:r w:rsidRPr="00E654BA">
        <w:rPr>
          <w:rFonts w:cs="Times New Roman"/>
          <w:sz w:val="18"/>
          <w:szCs w:val="18"/>
        </w:rPr>
        <w:t xml:space="preserve">Michele Natividad Rodriguez and Maurice Emsellem, </w:t>
      </w:r>
      <w:r w:rsidRPr="00E654BA">
        <w:rPr>
          <w:rFonts w:cs="Times New Roman"/>
          <w:i/>
          <w:sz w:val="18"/>
          <w:szCs w:val="18"/>
        </w:rPr>
        <w:t>65 Million ‘Need Not Apply’: The Case for Reforming Criminal Background Checks for Employment</w:t>
      </w:r>
      <w:r w:rsidRPr="00E654BA">
        <w:rPr>
          <w:rFonts w:cs="Times New Roman"/>
          <w:sz w:val="18"/>
          <w:szCs w:val="18"/>
        </w:rPr>
        <w:t xml:space="preserve">. The National Employment Law Project, March 2011, </w:t>
      </w:r>
      <w:hyperlink r:id="rId1" w:history="1">
        <w:r w:rsidRPr="00E654BA">
          <w:rPr>
            <w:rStyle w:val="Hyperlink"/>
            <w:rFonts w:cs="Times New Roman"/>
            <w:sz w:val="18"/>
            <w:szCs w:val="18"/>
          </w:rPr>
          <w:t>http://www.nelp.org/page/-/SCLP/2011/65_Million_Need_Not_Apply.pdf?nocdn=1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AA3E8" w14:textId="77777777" w:rsidR="00ED0825" w:rsidRDefault="00ED082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A06E01" wp14:editId="22E27F77">
          <wp:simplePos x="0" y="0"/>
          <wp:positionH relativeFrom="margin">
            <wp:posOffset>-83820</wp:posOffset>
          </wp:positionH>
          <wp:positionV relativeFrom="margin">
            <wp:posOffset>-527685</wp:posOffset>
          </wp:positionV>
          <wp:extent cx="6467475" cy="948690"/>
          <wp:effectExtent l="0" t="0" r="9525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8764F"/>
    <w:multiLevelType w:val="hybridMultilevel"/>
    <w:tmpl w:val="FFE0E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A6D20"/>
    <w:multiLevelType w:val="hybridMultilevel"/>
    <w:tmpl w:val="6E7AC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25"/>
    <w:rsid w:val="0008712D"/>
    <w:rsid w:val="00125374"/>
    <w:rsid w:val="002D2A6C"/>
    <w:rsid w:val="00352126"/>
    <w:rsid w:val="003A6716"/>
    <w:rsid w:val="003B5980"/>
    <w:rsid w:val="003B7EB1"/>
    <w:rsid w:val="00401125"/>
    <w:rsid w:val="007D1078"/>
    <w:rsid w:val="008052A9"/>
    <w:rsid w:val="009F152B"/>
    <w:rsid w:val="00DF7DD8"/>
    <w:rsid w:val="00E654BA"/>
    <w:rsid w:val="00ED0825"/>
    <w:rsid w:val="00F817D7"/>
    <w:rsid w:val="00F95164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D9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8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8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0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8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8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25"/>
  </w:style>
  <w:style w:type="paragraph" w:styleId="Footer">
    <w:name w:val="footer"/>
    <w:basedOn w:val="Normal"/>
    <w:link w:val="FooterChar"/>
    <w:uiPriority w:val="99"/>
    <w:unhideWhenUsed/>
    <w:rsid w:val="00ED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regenbogen@cclponline.org" TargetMode="External"/><Relationship Id="rId2" Type="http://schemas.openxmlformats.org/officeDocument/2006/relationships/hyperlink" Target="mailto:adeline@frontlinepublicaffairs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lp.org/page/-/SCLP/2011/65_Million_Need_Not_Apply.pdf?nocdn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Regenbogen</dc:creator>
  <cp:lastModifiedBy>Peter Severson</cp:lastModifiedBy>
  <cp:revision>2</cp:revision>
  <cp:lastPrinted>2019-01-17T18:32:00Z</cp:lastPrinted>
  <dcterms:created xsi:type="dcterms:W3CDTF">2019-02-20T00:46:00Z</dcterms:created>
  <dcterms:modified xsi:type="dcterms:W3CDTF">2019-02-20T00:46:00Z</dcterms:modified>
</cp:coreProperties>
</file>